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0183" w:rsidRPr="00AF4941" w:rsidRDefault="00A33B4B" w:rsidP="009C742C">
      <w:pPr>
        <w:jc w:val="center"/>
        <w:rPr>
          <w:rFonts w:cstheme="minorHAnsi"/>
          <w:b/>
          <w:sz w:val="28"/>
          <w:szCs w:val="28"/>
          <w:u w:val="single"/>
        </w:rPr>
      </w:pPr>
      <w:r w:rsidRPr="00AF4941">
        <w:rPr>
          <w:rFonts w:cstheme="minorHAnsi"/>
          <w:b/>
          <w:sz w:val="28"/>
          <w:szCs w:val="28"/>
          <w:highlight w:val="cyan"/>
          <w:u w:val="single"/>
        </w:rPr>
        <w:t xml:space="preserve">Notes to </w:t>
      </w:r>
      <w:r w:rsidR="00131670" w:rsidRPr="00AF4941">
        <w:rPr>
          <w:rFonts w:cstheme="minorHAnsi"/>
          <w:b/>
          <w:sz w:val="28"/>
          <w:szCs w:val="28"/>
          <w:highlight w:val="cyan"/>
          <w:u w:val="single"/>
        </w:rPr>
        <w:t xml:space="preserve">PASS </w:t>
      </w:r>
      <w:r w:rsidR="00B717A4" w:rsidRPr="00AF4941">
        <w:rPr>
          <w:rFonts w:cstheme="minorHAnsi"/>
          <w:b/>
          <w:sz w:val="28"/>
          <w:szCs w:val="28"/>
          <w:highlight w:val="cyan"/>
          <w:u w:val="single"/>
        </w:rPr>
        <w:t xml:space="preserve">CFE </w:t>
      </w:r>
      <w:r w:rsidRPr="00AF4941">
        <w:rPr>
          <w:rFonts w:cstheme="minorHAnsi"/>
          <w:b/>
          <w:sz w:val="28"/>
          <w:szCs w:val="28"/>
          <w:highlight w:val="cyan"/>
          <w:u w:val="single"/>
        </w:rPr>
        <w:t>Study Pla</w:t>
      </w:r>
      <w:r w:rsidR="00A90B40" w:rsidRPr="00AF4941">
        <w:rPr>
          <w:rFonts w:cstheme="minorHAnsi"/>
          <w:b/>
          <w:sz w:val="28"/>
          <w:szCs w:val="28"/>
          <w:highlight w:val="cyan"/>
          <w:u w:val="single"/>
        </w:rPr>
        <w:t>n</w:t>
      </w:r>
      <w:r w:rsidR="00AF4941" w:rsidRPr="00AF4941">
        <w:rPr>
          <w:rFonts w:cstheme="minorHAnsi"/>
          <w:b/>
          <w:sz w:val="28"/>
          <w:szCs w:val="28"/>
          <w:highlight w:val="cyan"/>
          <w:u w:val="single"/>
        </w:rPr>
        <w:t xml:space="preserve"> – </w:t>
      </w:r>
      <w:r w:rsidR="00DE5979">
        <w:rPr>
          <w:rFonts w:cstheme="minorHAnsi"/>
          <w:b/>
          <w:sz w:val="28"/>
          <w:szCs w:val="28"/>
          <w:highlight w:val="cyan"/>
          <w:u w:val="single"/>
        </w:rPr>
        <w:t>Canadian</w:t>
      </w:r>
      <w:r w:rsidR="00AF4941" w:rsidRPr="00AF4941">
        <w:rPr>
          <w:rFonts w:cstheme="minorHAnsi"/>
          <w:b/>
          <w:sz w:val="28"/>
          <w:szCs w:val="28"/>
          <w:highlight w:val="cyan"/>
          <w:u w:val="single"/>
        </w:rPr>
        <w:t xml:space="preserve"> Students</w:t>
      </w:r>
      <w:r w:rsidR="00A90B40" w:rsidRPr="00AF4941">
        <w:rPr>
          <w:rFonts w:cstheme="minorHAnsi"/>
          <w:b/>
          <w:sz w:val="28"/>
          <w:szCs w:val="28"/>
          <w:highlight w:val="cyan"/>
          <w:u w:val="single"/>
        </w:rPr>
        <w:t xml:space="preserve"> </w:t>
      </w:r>
    </w:p>
    <w:p w:rsidR="00242AF3" w:rsidRDefault="00242AF3" w:rsidP="004C1A09">
      <w:pPr>
        <w:ind w:left="426" w:hanging="426"/>
        <w:rPr>
          <w:rFonts w:ascii="Times New Roman" w:hAnsi="Times New Roman" w:cs="Times New Roman"/>
          <w:b/>
          <w:sz w:val="24"/>
          <w:szCs w:val="24"/>
        </w:rPr>
      </w:pPr>
    </w:p>
    <w:p w:rsidR="00A90B40" w:rsidRPr="00A90B40" w:rsidRDefault="00A90B40" w:rsidP="00A90B40">
      <w:pPr>
        <w:rPr>
          <w:rFonts w:cstheme="minorHAnsi"/>
          <w:b/>
          <w:sz w:val="24"/>
          <w:szCs w:val="24"/>
        </w:rPr>
      </w:pPr>
      <w:r w:rsidRPr="00A90B40">
        <w:rPr>
          <w:rFonts w:cstheme="minorHAnsi"/>
          <w:b/>
          <w:sz w:val="24"/>
          <w:szCs w:val="24"/>
        </w:rPr>
        <w:t>The PASS CFE study plan is 1 excel document</w:t>
      </w:r>
      <w:r w:rsidR="00300437">
        <w:rPr>
          <w:rFonts w:cstheme="minorHAnsi"/>
          <w:b/>
          <w:sz w:val="24"/>
          <w:szCs w:val="24"/>
        </w:rPr>
        <w:t xml:space="preserve">, Study Plan Detail – </w:t>
      </w:r>
      <w:r w:rsidR="00DE5979">
        <w:rPr>
          <w:rFonts w:cstheme="minorHAnsi"/>
          <w:b/>
          <w:sz w:val="24"/>
          <w:szCs w:val="24"/>
        </w:rPr>
        <w:t>Canadian</w:t>
      </w:r>
      <w:r w:rsidR="00300437">
        <w:rPr>
          <w:rFonts w:cstheme="minorHAnsi"/>
          <w:b/>
          <w:sz w:val="24"/>
          <w:szCs w:val="24"/>
        </w:rPr>
        <w:t xml:space="preserve"> Students</w:t>
      </w:r>
      <w:r w:rsidRPr="00A90B40">
        <w:rPr>
          <w:rFonts w:cstheme="minorHAnsi"/>
          <w:b/>
          <w:sz w:val="24"/>
          <w:szCs w:val="24"/>
        </w:rPr>
        <w:t>.  There are simply too many situation</w:t>
      </w:r>
      <w:r w:rsidR="00300437">
        <w:rPr>
          <w:rFonts w:cstheme="minorHAnsi"/>
          <w:b/>
          <w:sz w:val="24"/>
          <w:szCs w:val="24"/>
        </w:rPr>
        <w:t>s</w:t>
      </w:r>
      <w:r w:rsidRPr="00A90B40">
        <w:rPr>
          <w:rFonts w:cstheme="minorHAnsi"/>
          <w:b/>
          <w:sz w:val="24"/>
          <w:szCs w:val="24"/>
        </w:rPr>
        <w:t xml:space="preserve"> to attempt to have a meaningful document that covers every situation.  For example, there are </w:t>
      </w:r>
      <w:r w:rsidR="00DE5979">
        <w:rPr>
          <w:rFonts w:cstheme="minorHAnsi"/>
          <w:b/>
          <w:sz w:val="24"/>
          <w:szCs w:val="24"/>
        </w:rPr>
        <w:t>Canadian students</w:t>
      </w:r>
      <w:r w:rsidRPr="00A90B40">
        <w:rPr>
          <w:rFonts w:cstheme="minorHAnsi"/>
          <w:b/>
          <w:sz w:val="24"/>
          <w:szCs w:val="24"/>
        </w:rPr>
        <w:t xml:space="preserve"> </w:t>
      </w:r>
      <w:r w:rsidR="00300437">
        <w:rPr>
          <w:rFonts w:cstheme="minorHAnsi"/>
          <w:b/>
          <w:sz w:val="24"/>
          <w:szCs w:val="24"/>
        </w:rPr>
        <w:t xml:space="preserve">who </w:t>
      </w:r>
      <w:r w:rsidR="00DE5979">
        <w:rPr>
          <w:rFonts w:cstheme="minorHAnsi"/>
          <w:b/>
          <w:sz w:val="24"/>
          <w:szCs w:val="24"/>
        </w:rPr>
        <w:t xml:space="preserve">attend and write the Module exams and Capstone 1 and 2, while some Canadian students go to an accredited program and are exempt from these exams.  Also, some students </w:t>
      </w:r>
      <w:r w:rsidR="00300437">
        <w:rPr>
          <w:rFonts w:cstheme="minorHAnsi"/>
          <w:b/>
          <w:sz w:val="24"/>
          <w:szCs w:val="24"/>
        </w:rPr>
        <w:t xml:space="preserve">start studying 1 year in </w:t>
      </w:r>
      <w:proofErr w:type="gramStart"/>
      <w:r w:rsidR="00300437">
        <w:rPr>
          <w:rFonts w:cstheme="minorHAnsi"/>
          <w:b/>
          <w:sz w:val="24"/>
          <w:szCs w:val="24"/>
        </w:rPr>
        <w:t>a</w:t>
      </w:r>
      <w:proofErr w:type="gramEnd"/>
      <w:r w:rsidR="00300437">
        <w:rPr>
          <w:rFonts w:cstheme="minorHAnsi"/>
          <w:b/>
          <w:sz w:val="24"/>
          <w:szCs w:val="24"/>
        </w:rPr>
        <w:t xml:space="preserve"> advance and some start 8 months in advance.  Some</w:t>
      </w:r>
      <w:r w:rsidR="00DE5979">
        <w:rPr>
          <w:rFonts w:cstheme="minorHAnsi"/>
          <w:b/>
          <w:sz w:val="24"/>
          <w:szCs w:val="24"/>
        </w:rPr>
        <w:t xml:space="preserve"> </w:t>
      </w:r>
      <w:r w:rsidR="00300437">
        <w:rPr>
          <w:rFonts w:cstheme="minorHAnsi"/>
          <w:b/>
          <w:sz w:val="24"/>
          <w:szCs w:val="24"/>
        </w:rPr>
        <w:t xml:space="preserve">students have jobs, so there is less time to study, while others are </w:t>
      </w:r>
      <w:r w:rsidR="001D34C2">
        <w:rPr>
          <w:rFonts w:cstheme="minorHAnsi"/>
          <w:b/>
          <w:sz w:val="24"/>
          <w:szCs w:val="24"/>
        </w:rPr>
        <w:t xml:space="preserve">not </w:t>
      </w:r>
      <w:r w:rsidR="00300437">
        <w:rPr>
          <w:rFonts w:cstheme="minorHAnsi"/>
          <w:b/>
          <w:sz w:val="24"/>
          <w:szCs w:val="24"/>
        </w:rPr>
        <w:t>working full time</w:t>
      </w:r>
      <w:r w:rsidRPr="00A90B40">
        <w:rPr>
          <w:rFonts w:cstheme="minorHAnsi"/>
          <w:b/>
          <w:sz w:val="24"/>
          <w:szCs w:val="24"/>
        </w:rPr>
        <w:t xml:space="preserve">.  </w:t>
      </w:r>
    </w:p>
    <w:p w:rsidR="00A90B40" w:rsidRPr="00A90B40" w:rsidRDefault="00A90B40" w:rsidP="00A90B40">
      <w:pPr>
        <w:rPr>
          <w:rFonts w:cstheme="minorHAnsi"/>
          <w:b/>
          <w:sz w:val="24"/>
          <w:szCs w:val="24"/>
        </w:rPr>
      </w:pPr>
      <w:r w:rsidRPr="00A90B40">
        <w:rPr>
          <w:rFonts w:cstheme="minorHAnsi"/>
          <w:b/>
          <w:sz w:val="24"/>
          <w:szCs w:val="24"/>
        </w:rPr>
        <w:t>Therefore, the study plan is flexible and provides students with guidance depending on when they start studying.  It works as follows:</w:t>
      </w:r>
    </w:p>
    <w:p w:rsidR="00A90B40" w:rsidRDefault="00A90B40" w:rsidP="00A33B4B">
      <w:pPr>
        <w:ind w:left="426" w:hanging="426"/>
        <w:rPr>
          <w:rFonts w:ascii="Times New Roman" w:hAnsi="Times New Roman" w:cs="Times New Roman"/>
          <w:b/>
          <w:bCs/>
          <w:color w:val="0070C0"/>
          <w:sz w:val="24"/>
          <w:szCs w:val="24"/>
          <w:u w:val="single"/>
        </w:rPr>
      </w:pPr>
    </w:p>
    <w:p w:rsidR="004C1A09" w:rsidRPr="00AF4941" w:rsidRDefault="00A33B4B" w:rsidP="00A33B4B">
      <w:pPr>
        <w:ind w:left="426" w:hanging="426"/>
        <w:rPr>
          <w:rFonts w:cstheme="minorHAnsi"/>
          <w:b/>
          <w:bCs/>
          <w:color w:val="0070C0"/>
          <w:sz w:val="24"/>
          <w:szCs w:val="24"/>
          <w:u w:val="single"/>
        </w:rPr>
      </w:pPr>
      <w:r w:rsidRPr="00AF4941">
        <w:rPr>
          <w:rFonts w:cstheme="minorHAnsi"/>
          <w:b/>
          <w:bCs/>
          <w:color w:val="0070C0"/>
          <w:sz w:val="24"/>
          <w:szCs w:val="24"/>
          <w:u w:val="single"/>
        </w:rPr>
        <w:t xml:space="preserve">1. </w:t>
      </w:r>
      <w:r w:rsidRPr="00AF4941">
        <w:rPr>
          <w:rFonts w:cstheme="minorHAnsi"/>
          <w:b/>
          <w:bCs/>
          <w:color w:val="0070C0"/>
          <w:sz w:val="24"/>
          <w:szCs w:val="24"/>
          <w:u w:val="single"/>
        </w:rPr>
        <w:tab/>
      </w:r>
      <w:r w:rsidR="00A90B40" w:rsidRPr="00AF4941">
        <w:rPr>
          <w:rFonts w:cstheme="minorHAnsi"/>
          <w:b/>
          <w:bCs/>
          <w:color w:val="0070C0"/>
          <w:sz w:val="24"/>
          <w:szCs w:val="24"/>
          <w:u w:val="single"/>
        </w:rPr>
        <w:t xml:space="preserve">Which CFE are you </w:t>
      </w:r>
      <w:proofErr w:type="gramStart"/>
      <w:r w:rsidR="00A90B40" w:rsidRPr="00AF4941">
        <w:rPr>
          <w:rFonts w:cstheme="minorHAnsi"/>
          <w:b/>
          <w:bCs/>
          <w:color w:val="0070C0"/>
          <w:sz w:val="24"/>
          <w:szCs w:val="24"/>
          <w:u w:val="single"/>
        </w:rPr>
        <w:t>Writing</w:t>
      </w:r>
      <w:proofErr w:type="gramEnd"/>
      <w:r w:rsidR="00A90B40" w:rsidRPr="00AF4941">
        <w:rPr>
          <w:rFonts w:cstheme="minorHAnsi"/>
          <w:b/>
          <w:bCs/>
          <w:color w:val="0070C0"/>
          <w:sz w:val="24"/>
          <w:szCs w:val="24"/>
          <w:u w:val="single"/>
        </w:rPr>
        <w:t>?</w:t>
      </w:r>
    </w:p>
    <w:p w:rsidR="00BB10BB" w:rsidRPr="00AF4941" w:rsidRDefault="00A90B40" w:rsidP="00A90B40">
      <w:pPr>
        <w:rPr>
          <w:rFonts w:cstheme="minorHAnsi"/>
          <w:sz w:val="24"/>
          <w:szCs w:val="24"/>
        </w:rPr>
      </w:pPr>
      <w:r w:rsidRPr="00AF4941">
        <w:rPr>
          <w:rFonts w:cstheme="minorHAnsi"/>
          <w:sz w:val="24"/>
          <w:szCs w:val="24"/>
        </w:rPr>
        <w:t>The study pla</w:t>
      </w:r>
      <w:r w:rsidR="00BF4DD7">
        <w:rPr>
          <w:rFonts w:cstheme="minorHAnsi"/>
          <w:sz w:val="24"/>
          <w:szCs w:val="24"/>
        </w:rPr>
        <w:t>n contains i</w:t>
      </w:r>
      <w:r w:rsidR="001D34C2">
        <w:rPr>
          <w:rFonts w:cstheme="minorHAnsi"/>
          <w:sz w:val="24"/>
          <w:szCs w:val="24"/>
        </w:rPr>
        <w:t>nformation for both the May 2025 and Sept. 2025</w:t>
      </w:r>
      <w:r w:rsidRPr="00AF4941">
        <w:rPr>
          <w:rFonts w:cstheme="minorHAnsi"/>
          <w:sz w:val="24"/>
          <w:szCs w:val="24"/>
        </w:rPr>
        <w:t xml:space="preserve"> CFEs.</w:t>
      </w:r>
    </w:p>
    <w:p w:rsidR="00A90B40" w:rsidRPr="00AF4941" w:rsidRDefault="00A90B40" w:rsidP="00A90B40">
      <w:pPr>
        <w:ind w:left="426" w:hanging="426"/>
        <w:rPr>
          <w:rFonts w:cstheme="minorHAnsi"/>
          <w:b/>
          <w:bCs/>
          <w:color w:val="0070C0"/>
          <w:sz w:val="24"/>
          <w:szCs w:val="24"/>
          <w:u w:val="single"/>
        </w:rPr>
      </w:pPr>
      <w:r w:rsidRPr="00AF4941">
        <w:rPr>
          <w:rFonts w:cstheme="minorHAnsi"/>
          <w:b/>
          <w:bCs/>
          <w:color w:val="0070C0"/>
          <w:sz w:val="24"/>
          <w:szCs w:val="24"/>
          <w:u w:val="single"/>
        </w:rPr>
        <w:t xml:space="preserve">2. </w:t>
      </w:r>
      <w:r w:rsidRPr="00AF4941">
        <w:rPr>
          <w:rFonts w:cstheme="minorHAnsi"/>
          <w:b/>
          <w:bCs/>
          <w:color w:val="0070C0"/>
          <w:sz w:val="24"/>
          <w:szCs w:val="24"/>
          <w:u w:val="single"/>
        </w:rPr>
        <w:tab/>
        <w:t xml:space="preserve">What Month are you </w:t>
      </w:r>
      <w:proofErr w:type="gramStart"/>
      <w:r w:rsidRPr="00AF4941">
        <w:rPr>
          <w:rFonts w:cstheme="minorHAnsi"/>
          <w:b/>
          <w:bCs/>
          <w:color w:val="0070C0"/>
          <w:sz w:val="24"/>
          <w:szCs w:val="24"/>
          <w:u w:val="single"/>
        </w:rPr>
        <w:t>Starting</w:t>
      </w:r>
      <w:proofErr w:type="gramEnd"/>
      <w:r w:rsidRPr="00AF4941">
        <w:rPr>
          <w:rFonts w:cstheme="minorHAnsi"/>
          <w:b/>
          <w:bCs/>
          <w:color w:val="0070C0"/>
          <w:sz w:val="24"/>
          <w:szCs w:val="24"/>
          <w:u w:val="single"/>
        </w:rPr>
        <w:t xml:space="preserve"> to Study?</w:t>
      </w:r>
    </w:p>
    <w:p w:rsidR="00A90B40" w:rsidRPr="00AF4941" w:rsidRDefault="00A90B40" w:rsidP="00A90B40">
      <w:pPr>
        <w:rPr>
          <w:rFonts w:cstheme="minorHAnsi"/>
          <w:sz w:val="24"/>
          <w:szCs w:val="24"/>
        </w:rPr>
      </w:pPr>
      <w:r w:rsidRPr="00AF4941">
        <w:rPr>
          <w:rFonts w:cstheme="minorHAnsi"/>
          <w:sz w:val="24"/>
          <w:szCs w:val="24"/>
        </w:rPr>
        <w:t xml:space="preserve">The excel study plan has different worksheets, one worksheet for every 2 months, depending on when you are studying to study.  There are 2 tables in each </w:t>
      </w:r>
      <w:r w:rsidR="001D34C2">
        <w:rPr>
          <w:rFonts w:cstheme="minorHAnsi"/>
          <w:sz w:val="24"/>
          <w:szCs w:val="24"/>
        </w:rPr>
        <w:t>worksheet – one for the May 2025</w:t>
      </w:r>
      <w:r w:rsidRPr="00AF4941">
        <w:rPr>
          <w:rFonts w:cstheme="minorHAnsi"/>
          <w:sz w:val="24"/>
          <w:szCs w:val="24"/>
        </w:rPr>
        <w:t xml:space="preserve"> CF</w:t>
      </w:r>
      <w:r w:rsidR="001D34C2">
        <w:rPr>
          <w:rFonts w:cstheme="minorHAnsi"/>
          <w:sz w:val="24"/>
          <w:szCs w:val="24"/>
        </w:rPr>
        <w:t>E and one for the Sept. 2025</w:t>
      </w:r>
      <w:r w:rsidR="00BF4DD7">
        <w:rPr>
          <w:rFonts w:cstheme="minorHAnsi"/>
          <w:sz w:val="24"/>
          <w:szCs w:val="24"/>
        </w:rPr>
        <w:t xml:space="preserve"> CFE</w:t>
      </w:r>
      <w:r w:rsidRPr="00AF4941">
        <w:rPr>
          <w:rFonts w:cstheme="minorHAnsi"/>
          <w:sz w:val="24"/>
          <w:szCs w:val="24"/>
        </w:rPr>
        <w:t>.</w:t>
      </w:r>
    </w:p>
    <w:p w:rsidR="00A90B40" w:rsidRPr="00AF4941" w:rsidRDefault="00A90B40" w:rsidP="00A90B40">
      <w:pPr>
        <w:rPr>
          <w:rFonts w:cstheme="minorHAnsi"/>
          <w:sz w:val="24"/>
          <w:szCs w:val="24"/>
        </w:rPr>
      </w:pPr>
      <w:r w:rsidRPr="00AF4941">
        <w:rPr>
          <w:rFonts w:cstheme="minorHAnsi"/>
          <w:sz w:val="24"/>
          <w:szCs w:val="24"/>
        </w:rPr>
        <w:t xml:space="preserve">For example, if I </w:t>
      </w:r>
      <w:r w:rsidR="001D34C2">
        <w:rPr>
          <w:rFonts w:cstheme="minorHAnsi"/>
          <w:sz w:val="24"/>
          <w:szCs w:val="24"/>
        </w:rPr>
        <w:t>start studying in December, 2024</w:t>
      </w:r>
      <w:r w:rsidRPr="00AF4941">
        <w:rPr>
          <w:rFonts w:cstheme="minorHAnsi"/>
          <w:sz w:val="24"/>
          <w:szCs w:val="24"/>
        </w:rPr>
        <w:t xml:space="preserve"> for the Se</w:t>
      </w:r>
      <w:r w:rsidR="001D34C2">
        <w:rPr>
          <w:rFonts w:cstheme="minorHAnsi"/>
          <w:sz w:val="24"/>
          <w:szCs w:val="24"/>
        </w:rPr>
        <w:t>ptember 2025</w:t>
      </w:r>
      <w:r w:rsidRPr="00AF4941">
        <w:rPr>
          <w:rFonts w:cstheme="minorHAnsi"/>
          <w:sz w:val="24"/>
          <w:szCs w:val="24"/>
        </w:rPr>
        <w:t xml:space="preserve"> CFE, I simply click on the worksheet “Start Nov-D</w:t>
      </w:r>
      <w:r w:rsidR="001D34C2">
        <w:rPr>
          <w:rFonts w:cstheme="minorHAnsi"/>
          <w:sz w:val="24"/>
          <w:szCs w:val="24"/>
        </w:rPr>
        <w:t>ec’24</w:t>
      </w:r>
      <w:r w:rsidR="00E73370" w:rsidRPr="00AF4941">
        <w:rPr>
          <w:rFonts w:cstheme="minorHAnsi"/>
          <w:sz w:val="24"/>
          <w:szCs w:val="24"/>
        </w:rPr>
        <w:t>” and then scroll down to the 2</w:t>
      </w:r>
      <w:r w:rsidR="00E73370" w:rsidRPr="00AF4941">
        <w:rPr>
          <w:rFonts w:cstheme="minorHAnsi"/>
          <w:sz w:val="24"/>
          <w:szCs w:val="24"/>
          <w:vertAlign w:val="superscript"/>
        </w:rPr>
        <w:t>nd</w:t>
      </w:r>
      <w:r w:rsidR="001D34C2">
        <w:rPr>
          <w:rFonts w:cstheme="minorHAnsi"/>
          <w:sz w:val="24"/>
          <w:szCs w:val="24"/>
        </w:rPr>
        <w:t xml:space="preserve"> table, for the Sept. 2025</w:t>
      </w:r>
      <w:r w:rsidR="00E73370" w:rsidRPr="00AF4941">
        <w:rPr>
          <w:rFonts w:cstheme="minorHAnsi"/>
          <w:sz w:val="24"/>
          <w:szCs w:val="24"/>
        </w:rPr>
        <w:t xml:space="preserve"> CFE.</w:t>
      </w:r>
    </w:p>
    <w:p w:rsidR="00E73370" w:rsidRPr="00AF4941" w:rsidRDefault="00E73370" w:rsidP="00A90B40">
      <w:pPr>
        <w:rPr>
          <w:rFonts w:cstheme="minorHAnsi"/>
          <w:sz w:val="24"/>
          <w:szCs w:val="24"/>
        </w:rPr>
      </w:pPr>
      <w:r w:rsidRPr="00AF4941">
        <w:rPr>
          <w:rFonts w:cstheme="minorHAnsi"/>
          <w:sz w:val="24"/>
          <w:szCs w:val="24"/>
        </w:rPr>
        <w:t>The table then clearly shows, month by month, what to study, i.e. technical, case writing etc.  The PASS sessions are built into the study plan.</w:t>
      </w:r>
    </w:p>
    <w:p w:rsidR="00E73370" w:rsidRPr="00AF4941" w:rsidRDefault="00E73370" w:rsidP="00E73370">
      <w:pPr>
        <w:ind w:left="426" w:hanging="426"/>
        <w:rPr>
          <w:rFonts w:cstheme="minorHAnsi"/>
          <w:b/>
          <w:bCs/>
          <w:color w:val="0070C0"/>
          <w:sz w:val="24"/>
          <w:szCs w:val="24"/>
          <w:u w:val="single"/>
        </w:rPr>
      </w:pPr>
      <w:r w:rsidRPr="00AF4941">
        <w:rPr>
          <w:rFonts w:cstheme="minorHAnsi"/>
          <w:b/>
          <w:bCs/>
          <w:color w:val="0070C0"/>
          <w:sz w:val="24"/>
          <w:szCs w:val="24"/>
          <w:u w:val="single"/>
        </w:rPr>
        <w:t xml:space="preserve">3. </w:t>
      </w:r>
      <w:r w:rsidRPr="00AF4941">
        <w:rPr>
          <w:rFonts w:cstheme="minorHAnsi"/>
          <w:b/>
          <w:bCs/>
          <w:color w:val="0070C0"/>
          <w:sz w:val="24"/>
          <w:szCs w:val="24"/>
          <w:u w:val="single"/>
        </w:rPr>
        <w:tab/>
        <w:t xml:space="preserve">Where do I get the </w:t>
      </w:r>
      <w:proofErr w:type="gramStart"/>
      <w:r w:rsidRPr="00AF4941">
        <w:rPr>
          <w:rFonts w:cstheme="minorHAnsi"/>
          <w:b/>
          <w:bCs/>
          <w:color w:val="0070C0"/>
          <w:sz w:val="24"/>
          <w:szCs w:val="24"/>
          <w:u w:val="single"/>
        </w:rPr>
        <w:t>Videos</w:t>
      </w:r>
      <w:proofErr w:type="gramEnd"/>
    </w:p>
    <w:p w:rsidR="00AF4941" w:rsidRPr="00DE5979" w:rsidRDefault="00E73370">
      <w:pPr>
        <w:rPr>
          <w:rFonts w:cstheme="minorHAnsi"/>
          <w:sz w:val="24"/>
          <w:szCs w:val="24"/>
        </w:rPr>
      </w:pPr>
      <w:r w:rsidRPr="00AF4941">
        <w:rPr>
          <w:rFonts w:cstheme="minorHAnsi"/>
          <w:sz w:val="24"/>
          <w:szCs w:val="24"/>
        </w:rPr>
        <w:t xml:space="preserve">The tables often refer to watching videos.  These videos are accessed by going to the PASS home page, top right, student log in </w:t>
      </w:r>
      <w:r w:rsidR="00300437" w:rsidRPr="00AF4941">
        <w:rPr>
          <w:rFonts w:cstheme="minorHAnsi"/>
          <w:sz w:val="24"/>
          <w:szCs w:val="24"/>
        </w:rPr>
        <w:t>and entering your e-mail and pas</w:t>
      </w:r>
      <w:r w:rsidR="00DE5979">
        <w:rPr>
          <w:rFonts w:cstheme="minorHAnsi"/>
          <w:sz w:val="24"/>
          <w:szCs w:val="24"/>
        </w:rPr>
        <w:t>sword.</w:t>
      </w:r>
      <w:r w:rsidR="00AF4941">
        <w:rPr>
          <w:rFonts w:cstheme="minorHAnsi"/>
          <w:b/>
          <w:bCs/>
          <w:color w:val="0070C0"/>
          <w:sz w:val="24"/>
          <w:szCs w:val="24"/>
          <w:u w:val="single"/>
        </w:rPr>
        <w:br w:type="page"/>
      </w:r>
    </w:p>
    <w:p w:rsidR="004C1A09" w:rsidRPr="00AF4941" w:rsidRDefault="0037333C" w:rsidP="00DF5ECE">
      <w:pPr>
        <w:ind w:left="426" w:hanging="426"/>
        <w:rPr>
          <w:rFonts w:cstheme="minorHAnsi"/>
          <w:b/>
          <w:bCs/>
          <w:color w:val="0070C0"/>
          <w:sz w:val="24"/>
          <w:szCs w:val="24"/>
        </w:rPr>
      </w:pPr>
      <w:r w:rsidRPr="00AF4941">
        <w:rPr>
          <w:rFonts w:cstheme="minorHAnsi"/>
          <w:b/>
          <w:bCs/>
          <w:color w:val="0070C0"/>
          <w:sz w:val="24"/>
          <w:szCs w:val="24"/>
          <w:u w:val="single"/>
        </w:rPr>
        <w:lastRenderedPageBreak/>
        <w:t>4</w:t>
      </w:r>
      <w:r w:rsidR="00DF5ECE" w:rsidRPr="00AF4941">
        <w:rPr>
          <w:rFonts w:cstheme="minorHAnsi"/>
          <w:b/>
          <w:bCs/>
          <w:color w:val="0070C0"/>
          <w:sz w:val="24"/>
          <w:szCs w:val="24"/>
          <w:u w:val="single"/>
        </w:rPr>
        <w:t>.</w:t>
      </w:r>
      <w:r w:rsidR="00B028CA" w:rsidRPr="00AF4941">
        <w:rPr>
          <w:rFonts w:cstheme="minorHAnsi"/>
          <w:b/>
          <w:bCs/>
          <w:color w:val="0070C0"/>
          <w:sz w:val="24"/>
          <w:szCs w:val="24"/>
          <w:u w:val="single"/>
        </w:rPr>
        <w:tab/>
      </w:r>
      <w:r w:rsidRPr="00AF4941">
        <w:rPr>
          <w:rFonts w:cstheme="minorHAnsi"/>
          <w:b/>
          <w:bCs/>
          <w:color w:val="0070C0"/>
          <w:sz w:val="24"/>
          <w:szCs w:val="24"/>
          <w:u w:val="single"/>
        </w:rPr>
        <w:t>Should I Study Technical, Case Writing or Both?</w:t>
      </w:r>
      <w:r w:rsidR="00DF5ECE" w:rsidRPr="00AF4941">
        <w:rPr>
          <w:rFonts w:cstheme="minorHAnsi"/>
          <w:b/>
          <w:bCs/>
          <w:color w:val="0070C0"/>
          <w:sz w:val="24"/>
          <w:szCs w:val="24"/>
        </w:rPr>
        <w:tab/>
      </w:r>
    </w:p>
    <w:p w:rsidR="00B028CA" w:rsidRPr="00AF4941" w:rsidRDefault="00B028CA" w:rsidP="0037333C">
      <w:pPr>
        <w:rPr>
          <w:rFonts w:cstheme="minorHAnsi"/>
          <w:sz w:val="24"/>
          <w:szCs w:val="24"/>
        </w:rPr>
      </w:pPr>
      <w:r w:rsidRPr="00AF4941">
        <w:rPr>
          <w:rFonts w:cstheme="minorHAnsi"/>
          <w:sz w:val="24"/>
          <w:szCs w:val="24"/>
        </w:rPr>
        <w:t>The plan assumes a combined study approach, spending time on technical as well as case writing.</w:t>
      </w:r>
    </w:p>
    <w:p w:rsidR="00863BED" w:rsidRPr="00AF4941" w:rsidRDefault="00D20C3F" w:rsidP="0037333C">
      <w:pPr>
        <w:rPr>
          <w:rFonts w:cstheme="minorHAnsi"/>
          <w:sz w:val="24"/>
          <w:szCs w:val="24"/>
        </w:rPr>
      </w:pPr>
      <w:r w:rsidRPr="00AF4941">
        <w:rPr>
          <w:rFonts w:cstheme="minorHAnsi"/>
          <w:sz w:val="24"/>
          <w:szCs w:val="24"/>
        </w:rPr>
        <w:t>From a technical perspective, it is assumed that students will spend the most time on financial accounting</w:t>
      </w:r>
      <w:r w:rsidR="00BB10BB" w:rsidRPr="00AF4941">
        <w:rPr>
          <w:rFonts w:cstheme="minorHAnsi"/>
          <w:sz w:val="24"/>
          <w:szCs w:val="24"/>
        </w:rPr>
        <w:t xml:space="preserve"> and management accounting</w:t>
      </w:r>
      <w:r w:rsidRPr="00AF4941">
        <w:rPr>
          <w:rFonts w:cstheme="minorHAnsi"/>
          <w:sz w:val="24"/>
          <w:szCs w:val="24"/>
        </w:rPr>
        <w:t xml:space="preserve">, followed by tax and then audit.  </w:t>
      </w:r>
    </w:p>
    <w:p w:rsidR="00F0573A" w:rsidRPr="00AF4941" w:rsidRDefault="0037333C" w:rsidP="00F0573A">
      <w:pPr>
        <w:ind w:left="426" w:hanging="426"/>
        <w:rPr>
          <w:rFonts w:cstheme="minorHAnsi"/>
          <w:b/>
          <w:bCs/>
          <w:color w:val="0070C0"/>
          <w:sz w:val="24"/>
          <w:szCs w:val="24"/>
        </w:rPr>
      </w:pPr>
      <w:bookmarkStart w:id="0" w:name="OLE_LINK1"/>
      <w:bookmarkStart w:id="1" w:name="OLE_LINK2"/>
      <w:r w:rsidRPr="00AF4941">
        <w:rPr>
          <w:rFonts w:cstheme="minorHAnsi"/>
          <w:b/>
          <w:bCs/>
          <w:color w:val="0070C0"/>
          <w:sz w:val="24"/>
          <w:szCs w:val="24"/>
          <w:u w:val="single"/>
        </w:rPr>
        <w:t>5</w:t>
      </w:r>
      <w:r w:rsidR="00F0573A" w:rsidRPr="00AF4941">
        <w:rPr>
          <w:rFonts w:cstheme="minorHAnsi"/>
          <w:b/>
          <w:bCs/>
          <w:color w:val="0070C0"/>
          <w:sz w:val="24"/>
          <w:szCs w:val="24"/>
          <w:u w:val="single"/>
        </w:rPr>
        <w:t>.</w:t>
      </w:r>
      <w:r w:rsidR="00F0573A" w:rsidRPr="00AF4941">
        <w:rPr>
          <w:rFonts w:cstheme="minorHAnsi"/>
          <w:b/>
          <w:bCs/>
          <w:color w:val="0070C0"/>
          <w:sz w:val="24"/>
          <w:szCs w:val="24"/>
          <w:u w:val="single"/>
        </w:rPr>
        <w:tab/>
      </w:r>
      <w:r w:rsidRPr="00AF4941">
        <w:rPr>
          <w:rFonts w:cstheme="minorHAnsi"/>
          <w:b/>
          <w:bCs/>
          <w:color w:val="0070C0"/>
          <w:sz w:val="24"/>
          <w:szCs w:val="24"/>
          <w:u w:val="single"/>
        </w:rPr>
        <w:t>What Technical Study Material Should I Use?</w:t>
      </w:r>
      <w:r w:rsidR="00F0573A" w:rsidRPr="00AF4941">
        <w:rPr>
          <w:rFonts w:cstheme="minorHAnsi"/>
          <w:b/>
          <w:bCs/>
          <w:color w:val="0070C0"/>
          <w:sz w:val="24"/>
          <w:szCs w:val="24"/>
        </w:rPr>
        <w:tab/>
      </w:r>
    </w:p>
    <w:p w:rsidR="00F0573A" w:rsidRPr="00AF4941" w:rsidRDefault="00F0573A" w:rsidP="0037333C">
      <w:pPr>
        <w:rPr>
          <w:rFonts w:cstheme="minorHAnsi"/>
          <w:b/>
          <w:bCs/>
          <w:color w:val="0070C0"/>
          <w:sz w:val="24"/>
          <w:szCs w:val="24"/>
          <w:u w:val="single"/>
        </w:rPr>
      </w:pPr>
      <w:r w:rsidRPr="00AF4941">
        <w:rPr>
          <w:rFonts w:cstheme="minorHAnsi"/>
          <w:sz w:val="24"/>
          <w:szCs w:val="24"/>
        </w:rPr>
        <w:t xml:space="preserve">Students should use whatever technical sources they are most comfortable with, as long as they are up to date.  For financial accounting and audit, an updated copy of the Handbook is very relevant in conjunction with any accounting / audit textbook that one may have.  Students who took the PASS </w:t>
      </w:r>
      <w:r w:rsidR="0037333C" w:rsidRPr="00AF4941">
        <w:rPr>
          <w:rFonts w:cstheme="minorHAnsi"/>
          <w:sz w:val="24"/>
          <w:szCs w:val="24"/>
        </w:rPr>
        <w:t>Module/</w:t>
      </w:r>
      <w:r w:rsidRPr="00AF4941">
        <w:rPr>
          <w:rFonts w:cstheme="minorHAnsi"/>
          <w:sz w:val="24"/>
          <w:szCs w:val="24"/>
        </w:rPr>
        <w:t xml:space="preserve">Challenge Exam Course </w:t>
      </w:r>
      <w:r w:rsidR="001658A2" w:rsidRPr="00AF4941">
        <w:rPr>
          <w:rFonts w:cstheme="minorHAnsi"/>
          <w:sz w:val="24"/>
          <w:szCs w:val="24"/>
        </w:rPr>
        <w:t xml:space="preserve">or purchased PASS resources for students taking modules </w:t>
      </w:r>
      <w:r w:rsidRPr="00AF4941">
        <w:rPr>
          <w:rFonts w:cstheme="minorHAnsi"/>
          <w:sz w:val="24"/>
          <w:szCs w:val="24"/>
        </w:rPr>
        <w:t xml:space="preserve">can rely on the technical and case writing binders provided </w:t>
      </w:r>
      <w:r w:rsidR="001658A2" w:rsidRPr="00AF4941">
        <w:rPr>
          <w:rFonts w:cstheme="minorHAnsi"/>
          <w:sz w:val="24"/>
          <w:szCs w:val="24"/>
        </w:rPr>
        <w:t>by PASS</w:t>
      </w:r>
      <w:r w:rsidRPr="00AF4941">
        <w:rPr>
          <w:rFonts w:cstheme="minorHAnsi"/>
          <w:sz w:val="24"/>
          <w:szCs w:val="24"/>
        </w:rPr>
        <w:t>, as their base for their technical studying.  (</w:t>
      </w:r>
      <w:proofErr w:type="gramStart"/>
      <w:r w:rsidR="001658A2" w:rsidRPr="00AF4941">
        <w:rPr>
          <w:rFonts w:cstheme="minorHAnsi"/>
          <w:sz w:val="24"/>
          <w:szCs w:val="24"/>
        </w:rPr>
        <w:t>Students</w:t>
      </w:r>
      <w:proofErr w:type="gramEnd"/>
      <w:r w:rsidR="001658A2" w:rsidRPr="00AF4941">
        <w:rPr>
          <w:rFonts w:cstheme="minorHAnsi"/>
          <w:sz w:val="24"/>
          <w:szCs w:val="24"/>
        </w:rPr>
        <w:t xml:space="preserve"> who did</w:t>
      </w:r>
      <w:r w:rsidRPr="00AF4941">
        <w:rPr>
          <w:rFonts w:cstheme="minorHAnsi"/>
          <w:sz w:val="24"/>
          <w:szCs w:val="24"/>
        </w:rPr>
        <w:t xml:space="preserve"> not take the </w:t>
      </w:r>
      <w:r w:rsidR="0037333C" w:rsidRPr="00AF4941">
        <w:rPr>
          <w:rFonts w:cstheme="minorHAnsi"/>
          <w:sz w:val="24"/>
          <w:szCs w:val="24"/>
        </w:rPr>
        <w:t>Module/</w:t>
      </w:r>
      <w:r w:rsidRPr="00AF4941">
        <w:rPr>
          <w:rFonts w:cstheme="minorHAnsi"/>
          <w:sz w:val="24"/>
          <w:szCs w:val="24"/>
        </w:rPr>
        <w:t xml:space="preserve">Challenge Exam Course </w:t>
      </w:r>
      <w:r w:rsidR="001658A2" w:rsidRPr="00AF4941">
        <w:rPr>
          <w:rFonts w:cstheme="minorHAnsi"/>
          <w:sz w:val="24"/>
          <w:szCs w:val="24"/>
        </w:rPr>
        <w:t>or purchase module resources</w:t>
      </w:r>
      <w:r w:rsidRPr="00AF4941">
        <w:rPr>
          <w:rFonts w:cstheme="minorHAnsi"/>
          <w:sz w:val="24"/>
          <w:szCs w:val="24"/>
        </w:rPr>
        <w:t xml:space="preserve">, may want to consider purchasing </w:t>
      </w:r>
      <w:r w:rsidR="001658A2" w:rsidRPr="00AF4941">
        <w:rPr>
          <w:rFonts w:cstheme="minorHAnsi"/>
          <w:sz w:val="24"/>
          <w:szCs w:val="24"/>
        </w:rPr>
        <w:t xml:space="preserve">a technical binder which covers all of the competencies </w:t>
      </w:r>
      <w:r w:rsidRPr="00AF4941">
        <w:rPr>
          <w:rFonts w:cstheme="minorHAnsi"/>
          <w:sz w:val="24"/>
          <w:szCs w:val="24"/>
        </w:rPr>
        <w:t>or the publicat</w:t>
      </w:r>
      <w:r w:rsidR="001658A2" w:rsidRPr="00AF4941">
        <w:rPr>
          <w:rFonts w:cstheme="minorHAnsi"/>
          <w:sz w:val="24"/>
          <w:szCs w:val="24"/>
        </w:rPr>
        <w:t>ion IFRS/ASPE Technical Review and Management Accounting Review</w:t>
      </w:r>
      <w:r w:rsidRPr="00AF4941">
        <w:rPr>
          <w:rFonts w:cstheme="minorHAnsi"/>
          <w:sz w:val="24"/>
          <w:szCs w:val="24"/>
        </w:rPr>
        <w:t xml:space="preserve">.  Please see </w:t>
      </w:r>
      <w:hyperlink r:id="rId8" w:history="1">
        <w:r w:rsidR="00D97765" w:rsidRPr="00AF4941">
          <w:rPr>
            <w:rStyle w:val="Hyperlink"/>
            <w:rFonts w:cstheme="minorHAnsi"/>
            <w:sz w:val="24"/>
            <w:szCs w:val="24"/>
          </w:rPr>
          <w:t>www.passyourcpa.ca</w:t>
        </w:r>
      </w:hyperlink>
      <w:r w:rsidR="00D97765" w:rsidRPr="00AF4941">
        <w:rPr>
          <w:rFonts w:cstheme="minorHAnsi"/>
          <w:sz w:val="24"/>
          <w:szCs w:val="24"/>
        </w:rPr>
        <w:t xml:space="preserve"> </w:t>
      </w:r>
      <w:r w:rsidRPr="00AF4941">
        <w:rPr>
          <w:rFonts w:cstheme="minorHAnsi"/>
          <w:sz w:val="24"/>
          <w:szCs w:val="24"/>
        </w:rPr>
        <w:t>for more details</w:t>
      </w:r>
      <w:r w:rsidR="00416429" w:rsidRPr="00AF4941">
        <w:rPr>
          <w:rFonts w:cstheme="minorHAnsi"/>
          <w:sz w:val="24"/>
          <w:szCs w:val="24"/>
        </w:rPr>
        <w:t>)</w:t>
      </w:r>
      <w:r w:rsidRPr="00AF4941">
        <w:rPr>
          <w:rFonts w:cstheme="minorHAnsi"/>
          <w:sz w:val="24"/>
          <w:szCs w:val="24"/>
        </w:rPr>
        <w:t>.</w:t>
      </w:r>
    </w:p>
    <w:p w:rsidR="008A2657" w:rsidRPr="00AF4941" w:rsidRDefault="0037333C" w:rsidP="00860349">
      <w:pPr>
        <w:ind w:left="426" w:hanging="426"/>
        <w:rPr>
          <w:rFonts w:cstheme="minorHAnsi"/>
          <w:b/>
          <w:bCs/>
          <w:color w:val="0070C0"/>
          <w:sz w:val="24"/>
          <w:szCs w:val="24"/>
          <w:u w:val="single"/>
        </w:rPr>
      </w:pPr>
      <w:r w:rsidRPr="00AF4941">
        <w:rPr>
          <w:rFonts w:cstheme="minorHAnsi"/>
          <w:b/>
          <w:bCs/>
          <w:color w:val="0070C0"/>
          <w:sz w:val="24"/>
          <w:szCs w:val="24"/>
          <w:u w:val="single"/>
        </w:rPr>
        <w:t>6</w:t>
      </w:r>
      <w:r w:rsidR="00F12497" w:rsidRPr="00AF4941">
        <w:rPr>
          <w:rFonts w:cstheme="minorHAnsi"/>
          <w:b/>
          <w:bCs/>
          <w:color w:val="0070C0"/>
          <w:sz w:val="24"/>
          <w:szCs w:val="24"/>
          <w:u w:val="single"/>
        </w:rPr>
        <w:t>.</w:t>
      </w:r>
      <w:r w:rsidR="00F12497" w:rsidRPr="00AF4941">
        <w:rPr>
          <w:rFonts w:cstheme="minorHAnsi"/>
          <w:b/>
          <w:bCs/>
          <w:color w:val="0070C0"/>
          <w:sz w:val="24"/>
          <w:szCs w:val="24"/>
          <w:u w:val="single"/>
        </w:rPr>
        <w:tab/>
      </w:r>
      <w:r w:rsidRPr="00AF4941">
        <w:rPr>
          <w:rFonts w:cstheme="minorHAnsi"/>
          <w:b/>
          <w:bCs/>
          <w:color w:val="0070C0"/>
          <w:sz w:val="24"/>
          <w:szCs w:val="24"/>
          <w:u w:val="single"/>
        </w:rPr>
        <w:t xml:space="preserve">What CFE and Non-CFE Cases Should I </w:t>
      </w:r>
      <w:proofErr w:type="gramStart"/>
      <w:r w:rsidRPr="00AF4941">
        <w:rPr>
          <w:rFonts w:cstheme="minorHAnsi"/>
          <w:b/>
          <w:bCs/>
          <w:color w:val="0070C0"/>
          <w:sz w:val="24"/>
          <w:szCs w:val="24"/>
          <w:u w:val="single"/>
        </w:rPr>
        <w:t>be</w:t>
      </w:r>
      <w:proofErr w:type="gramEnd"/>
      <w:r w:rsidRPr="00AF4941">
        <w:rPr>
          <w:rFonts w:cstheme="minorHAnsi"/>
          <w:b/>
          <w:bCs/>
          <w:color w:val="0070C0"/>
          <w:sz w:val="24"/>
          <w:szCs w:val="24"/>
          <w:u w:val="single"/>
        </w:rPr>
        <w:t xml:space="preserve"> Writing?</w:t>
      </w:r>
    </w:p>
    <w:bookmarkEnd w:id="0"/>
    <w:bookmarkEnd w:id="1"/>
    <w:p w:rsidR="00803985" w:rsidRPr="00AF4941" w:rsidRDefault="0037333C" w:rsidP="0037333C">
      <w:pPr>
        <w:rPr>
          <w:rFonts w:cstheme="minorHAnsi"/>
          <w:sz w:val="24"/>
          <w:szCs w:val="24"/>
        </w:rPr>
      </w:pPr>
      <w:r w:rsidRPr="00AF4941">
        <w:rPr>
          <w:rFonts w:cstheme="minorHAnsi"/>
          <w:sz w:val="24"/>
          <w:szCs w:val="24"/>
        </w:rPr>
        <w:t xml:space="preserve">In the PASS course, we will be giving you PASS (non CFE) cases to write and practice.  You should ensure that you cover the </w:t>
      </w:r>
      <w:r w:rsidR="00BF4DD7">
        <w:rPr>
          <w:rFonts w:cstheme="minorHAnsi"/>
          <w:sz w:val="24"/>
          <w:szCs w:val="24"/>
        </w:rPr>
        <w:t xml:space="preserve">most recent </w:t>
      </w:r>
      <w:r w:rsidRPr="00AF4941">
        <w:rPr>
          <w:rFonts w:cstheme="minorHAnsi"/>
          <w:sz w:val="24"/>
          <w:szCs w:val="24"/>
        </w:rPr>
        <w:t xml:space="preserve">CFEs, specifically Sept. </w:t>
      </w:r>
      <w:r w:rsidR="001D34C2">
        <w:rPr>
          <w:rFonts w:cstheme="minorHAnsi"/>
          <w:sz w:val="24"/>
          <w:szCs w:val="24"/>
        </w:rPr>
        <w:t>2022 up to the current Sept 2024</w:t>
      </w:r>
      <w:r w:rsidR="00BD5A99">
        <w:rPr>
          <w:rFonts w:cstheme="minorHAnsi"/>
          <w:sz w:val="24"/>
          <w:szCs w:val="24"/>
        </w:rPr>
        <w:t xml:space="preserve"> CFE, 6</w:t>
      </w:r>
      <w:r w:rsidRPr="00AF4941">
        <w:rPr>
          <w:rFonts w:cstheme="minorHAnsi"/>
          <w:sz w:val="24"/>
          <w:szCs w:val="24"/>
        </w:rPr>
        <w:t xml:space="preserve"> in total (there </w:t>
      </w:r>
      <w:r w:rsidR="001D34C2">
        <w:rPr>
          <w:rFonts w:cstheme="minorHAnsi"/>
          <w:sz w:val="24"/>
          <w:szCs w:val="24"/>
        </w:rPr>
        <w:t>were 2 in 2022, 2023 and 2024</w:t>
      </w:r>
      <w:r w:rsidRPr="00AF4941">
        <w:rPr>
          <w:rFonts w:cstheme="minorHAnsi"/>
          <w:sz w:val="24"/>
          <w:szCs w:val="24"/>
        </w:rPr>
        <w:t>)</w:t>
      </w:r>
      <w:r w:rsidR="001D34C2">
        <w:rPr>
          <w:rFonts w:cstheme="minorHAnsi"/>
          <w:sz w:val="24"/>
          <w:szCs w:val="24"/>
        </w:rPr>
        <w:t>.  (FYI – there are 15</w:t>
      </w:r>
      <w:r w:rsidR="00BF4DD7">
        <w:rPr>
          <w:rFonts w:cstheme="minorHAnsi"/>
          <w:sz w:val="24"/>
          <w:szCs w:val="24"/>
        </w:rPr>
        <w:t xml:space="preserve"> in tota</w:t>
      </w:r>
      <w:r w:rsidR="001D34C2">
        <w:rPr>
          <w:rFonts w:cstheme="minorHAnsi"/>
          <w:sz w:val="24"/>
          <w:szCs w:val="24"/>
        </w:rPr>
        <w:t>l, from Sept. 2015 to Sept. 2024</w:t>
      </w:r>
      <w:r w:rsidR="00BD5A99">
        <w:rPr>
          <w:rFonts w:cstheme="minorHAnsi"/>
          <w:sz w:val="24"/>
          <w:szCs w:val="24"/>
        </w:rPr>
        <w:t xml:space="preserve">, 2 in 2016, </w:t>
      </w:r>
      <w:r w:rsidR="00BF4DD7">
        <w:rPr>
          <w:rFonts w:cstheme="minorHAnsi"/>
          <w:sz w:val="24"/>
          <w:szCs w:val="24"/>
        </w:rPr>
        <w:t>2021</w:t>
      </w:r>
      <w:r w:rsidR="00E028B0">
        <w:rPr>
          <w:rFonts w:cstheme="minorHAnsi"/>
          <w:sz w:val="24"/>
          <w:szCs w:val="24"/>
        </w:rPr>
        <w:t>, 2022</w:t>
      </w:r>
      <w:r w:rsidR="001D34C2">
        <w:rPr>
          <w:rFonts w:cstheme="minorHAnsi"/>
          <w:sz w:val="24"/>
          <w:szCs w:val="24"/>
        </w:rPr>
        <w:t>, 2023 and 2024 and 1 in the remaining years</w:t>
      </w:r>
      <w:r w:rsidR="00BF4DD7">
        <w:rPr>
          <w:rFonts w:cstheme="minorHAnsi"/>
          <w:sz w:val="24"/>
          <w:szCs w:val="24"/>
        </w:rPr>
        <w:t>)</w:t>
      </w:r>
      <w:r w:rsidRPr="00AF4941">
        <w:rPr>
          <w:rFonts w:cstheme="minorHAnsi"/>
          <w:sz w:val="24"/>
          <w:szCs w:val="24"/>
        </w:rPr>
        <w:t>.</w:t>
      </w:r>
    </w:p>
    <w:p w:rsidR="00BF6C79" w:rsidRPr="00AF4941" w:rsidRDefault="00396E16" w:rsidP="00BF6C79">
      <w:pPr>
        <w:ind w:left="426" w:hanging="426"/>
        <w:rPr>
          <w:rFonts w:cstheme="minorHAnsi"/>
          <w:b/>
          <w:bCs/>
          <w:color w:val="0070C0"/>
          <w:sz w:val="24"/>
          <w:szCs w:val="24"/>
          <w:u w:val="single"/>
        </w:rPr>
      </w:pPr>
      <w:bookmarkStart w:id="2" w:name="OLE_LINK14"/>
      <w:bookmarkStart w:id="3" w:name="OLE_LINK15"/>
      <w:r w:rsidRPr="00AF4941">
        <w:rPr>
          <w:rFonts w:cstheme="minorHAnsi"/>
          <w:b/>
          <w:bCs/>
          <w:color w:val="0070C0"/>
          <w:sz w:val="24"/>
          <w:szCs w:val="24"/>
          <w:u w:val="single"/>
        </w:rPr>
        <w:t>7</w:t>
      </w:r>
      <w:r w:rsidR="00BF6C79" w:rsidRPr="00AF4941">
        <w:rPr>
          <w:rFonts w:cstheme="minorHAnsi"/>
          <w:b/>
          <w:bCs/>
          <w:color w:val="0070C0"/>
          <w:sz w:val="24"/>
          <w:szCs w:val="24"/>
          <w:u w:val="single"/>
        </w:rPr>
        <w:t>.</w:t>
      </w:r>
      <w:r w:rsidR="00BF6C79" w:rsidRPr="00AF4941">
        <w:rPr>
          <w:rFonts w:cstheme="minorHAnsi"/>
          <w:b/>
          <w:bCs/>
          <w:color w:val="0070C0"/>
          <w:sz w:val="24"/>
          <w:szCs w:val="24"/>
          <w:u w:val="single"/>
        </w:rPr>
        <w:tab/>
      </w:r>
      <w:r w:rsidRPr="00AF4941">
        <w:rPr>
          <w:rFonts w:cstheme="minorHAnsi"/>
          <w:b/>
          <w:bCs/>
          <w:color w:val="0070C0"/>
          <w:sz w:val="24"/>
          <w:szCs w:val="24"/>
          <w:u w:val="single"/>
        </w:rPr>
        <w:t>How Should I Study the Technical Topics?</w:t>
      </w:r>
    </w:p>
    <w:p w:rsidR="00396E16" w:rsidRPr="00AF4941" w:rsidRDefault="00396E16" w:rsidP="00396E16">
      <w:pPr>
        <w:ind w:left="426" w:hanging="426"/>
        <w:rPr>
          <w:rFonts w:cstheme="minorHAnsi"/>
          <w:b/>
          <w:bCs/>
          <w:color w:val="0070C0"/>
          <w:sz w:val="24"/>
          <w:szCs w:val="24"/>
          <w:u w:val="single"/>
        </w:rPr>
      </w:pPr>
      <w:r w:rsidRPr="00AF4941">
        <w:rPr>
          <w:rFonts w:cstheme="minorHAnsi"/>
          <w:b/>
          <w:bCs/>
          <w:color w:val="0070C0"/>
          <w:sz w:val="24"/>
          <w:szCs w:val="24"/>
          <w:u w:val="single"/>
        </w:rPr>
        <w:t>Financial Accounting</w:t>
      </w:r>
    </w:p>
    <w:bookmarkEnd w:id="2"/>
    <w:bookmarkEnd w:id="3"/>
    <w:p w:rsidR="00C42C02" w:rsidRPr="00AF4941" w:rsidRDefault="00E04A4F" w:rsidP="00396E16">
      <w:pPr>
        <w:rPr>
          <w:rFonts w:cstheme="minorHAnsi"/>
          <w:sz w:val="24"/>
          <w:szCs w:val="24"/>
        </w:rPr>
      </w:pPr>
      <w:r w:rsidRPr="00AF4941">
        <w:rPr>
          <w:rFonts w:cstheme="minorHAnsi"/>
          <w:sz w:val="24"/>
          <w:szCs w:val="24"/>
        </w:rPr>
        <w:t>Students should work their way through the IFRS and ASPE technical Handbook Sections, making sure they are familiar with the accounting for all of the sections.</w:t>
      </w:r>
    </w:p>
    <w:p w:rsidR="00E04A4F" w:rsidRPr="00AF4941" w:rsidRDefault="00E04A4F" w:rsidP="00E04A4F">
      <w:pPr>
        <w:ind w:left="426" w:hanging="426"/>
        <w:rPr>
          <w:rFonts w:cstheme="minorHAnsi"/>
          <w:b/>
          <w:bCs/>
          <w:color w:val="0070C0"/>
          <w:sz w:val="24"/>
          <w:szCs w:val="24"/>
          <w:u w:val="single"/>
        </w:rPr>
      </w:pPr>
      <w:bookmarkStart w:id="4" w:name="OLE_LINK16"/>
      <w:bookmarkStart w:id="5" w:name="OLE_LINK17"/>
      <w:r w:rsidRPr="00AF4941">
        <w:rPr>
          <w:rFonts w:cstheme="minorHAnsi"/>
          <w:b/>
          <w:bCs/>
          <w:color w:val="0070C0"/>
          <w:sz w:val="24"/>
          <w:szCs w:val="24"/>
          <w:u w:val="single"/>
        </w:rPr>
        <w:t>Management Accounting</w:t>
      </w:r>
    </w:p>
    <w:p w:rsidR="00E04A4F" w:rsidRPr="00AF4941" w:rsidRDefault="00E04A4F" w:rsidP="00396E16">
      <w:pPr>
        <w:rPr>
          <w:rFonts w:cstheme="minorHAnsi"/>
          <w:sz w:val="24"/>
          <w:szCs w:val="24"/>
        </w:rPr>
      </w:pPr>
      <w:r w:rsidRPr="00AF4941">
        <w:rPr>
          <w:rFonts w:cstheme="minorHAnsi"/>
          <w:sz w:val="24"/>
          <w:szCs w:val="24"/>
        </w:rPr>
        <w:t>Students should review the major topics in management accounting, and review the PASS Management Accounting Technical Review Book.</w:t>
      </w:r>
    </w:p>
    <w:p w:rsidR="001D34C2" w:rsidRDefault="001D34C2" w:rsidP="00396E16">
      <w:pPr>
        <w:rPr>
          <w:rFonts w:cstheme="minorHAnsi"/>
          <w:b/>
          <w:bCs/>
          <w:color w:val="0070C0"/>
          <w:sz w:val="24"/>
          <w:szCs w:val="24"/>
          <w:u w:val="single"/>
        </w:rPr>
      </w:pPr>
    </w:p>
    <w:p w:rsidR="001D34C2" w:rsidRDefault="001D34C2" w:rsidP="00396E16">
      <w:pPr>
        <w:rPr>
          <w:rFonts w:cstheme="minorHAnsi"/>
          <w:b/>
          <w:bCs/>
          <w:color w:val="0070C0"/>
          <w:sz w:val="24"/>
          <w:szCs w:val="24"/>
          <w:u w:val="single"/>
        </w:rPr>
      </w:pPr>
    </w:p>
    <w:p w:rsidR="00C02888" w:rsidRPr="00AF4941" w:rsidRDefault="00C02888" w:rsidP="00396E16">
      <w:pPr>
        <w:rPr>
          <w:rFonts w:cstheme="minorHAnsi"/>
          <w:b/>
          <w:bCs/>
          <w:color w:val="0070C0"/>
          <w:sz w:val="24"/>
          <w:szCs w:val="24"/>
          <w:u w:val="single"/>
        </w:rPr>
      </w:pPr>
      <w:r w:rsidRPr="00AF4941">
        <w:rPr>
          <w:rFonts w:cstheme="minorHAnsi"/>
          <w:b/>
          <w:bCs/>
          <w:color w:val="0070C0"/>
          <w:sz w:val="24"/>
          <w:szCs w:val="24"/>
          <w:u w:val="single"/>
        </w:rPr>
        <w:lastRenderedPageBreak/>
        <w:t>Assurance</w:t>
      </w:r>
    </w:p>
    <w:p w:rsidR="00AF4941" w:rsidRDefault="00C02888" w:rsidP="00396E16">
      <w:pPr>
        <w:rPr>
          <w:rFonts w:cstheme="minorHAnsi"/>
          <w:sz w:val="24"/>
          <w:szCs w:val="24"/>
        </w:rPr>
      </w:pPr>
      <w:bookmarkStart w:id="6" w:name="OLE_LINK18"/>
      <w:bookmarkStart w:id="7" w:name="OLE_LINK19"/>
      <w:bookmarkStart w:id="8" w:name="OLE_LINK20"/>
      <w:bookmarkEnd w:id="4"/>
      <w:bookmarkEnd w:id="5"/>
      <w:r w:rsidRPr="00AF4941">
        <w:rPr>
          <w:rFonts w:cstheme="minorHAnsi"/>
          <w:sz w:val="24"/>
          <w:szCs w:val="24"/>
        </w:rPr>
        <w:t>Much of the assurance technical is picked up through case writing.  However, candidates may still want to spend some time reviewing some basic technical in assurance, as follows:</w:t>
      </w:r>
      <w:bookmarkEnd w:id="6"/>
      <w:bookmarkEnd w:id="7"/>
      <w:bookmarkEnd w:id="8"/>
    </w:p>
    <w:p w:rsidR="00C02888" w:rsidRPr="00AF4941" w:rsidRDefault="00C02888" w:rsidP="00396E16">
      <w:pPr>
        <w:rPr>
          <w:rFonts w:cstheme="minorHAnsi"/>
          <w:sz w:val="24"/>
          <w:szCs w:val="24"/>
        </w:rPr>
      </w:pPr>
      <w:r w:rsidRPr="00AF4941">
        <w:rPr>
          <w:rFonts w:cstheme="minorHAnsi"/>
          <w:sz w:val="24"/>
          <w:szCs w:val="24"/>
        </w:rPr>
        <w:t>– Audit planning, engagement issues, procedures, internal controls</w:t>
      </w:r>
    </w:p>
    <w:p w:rsidR="00D97765" w:rsidRPr="00AF4941" w:rsidRDefault="00C02888" w:rsidP="00396E16">
      <w:pPr>
        <w:rPr>
          <w:rFonts w:cstheme="minorHAnsi"/>
          <w:b/>
          <w:bCs/>
          <w:color w:val="0070C0"/>
          <w:sz w:val="24"/>
          <w:szCs w:val="24"/>
          <w:u w:val="single"/>
        </w:rPr>
      </w:pPr>
      <w:r w:rsidRPr="00AF4941">
        <w:rPr>
          <w:rFonts w:cstheme="minorHAnsi"/>
          <w:sz w:val="24"/>
          <w:szCs w:val="24"/>
        </w:rPr>
        <w:t>– Reporting and professional rules of ethics</w:t>
      </w:r>
      <w:bookmarkStart w:id="9" w:name="OLE_LINK21"/>
      <w:bookmarkStart w:id="10" w:name="_GoBack"/>
      <w:bookmarkEnd w:id="10"/>
    </w:p>
    <w:p w:rsidR="00C02888" w:rsidRPr="00AF4941" w:rsidRDefault="00C02888" w:rsidP="00D97765">
      <w:pPr>
        <w:ind w:left="426" w:hanging="426"/>
        <w:rPr>
          <w:rFonts w:cstheme="minorHAnsi"/>
          <w:sz w:val="24"/>
          <w:szCs w:val="24"/>
        </w:rPr>
      </w:pPr>
      <w:r w:rsidRPr="00AF4941">
        <w:rPr>
          <w:rFonts w:cstheme="minorHAnsi"/>
          <w:b/>
          <w:bCs/>
          <w:color w:val="0070C0"/>
          <w:sz w:val="24"/>
          <w:szCs w:val="24"/>
          <w:u w:val="single"/>
        </w:rPr>
        <w:t>Taxation</w:t>
      </w:r>
    </w:p>
    <w:p w:rsidR="00C02888" w:rsidRPr="00AF4941" w:rsidRDefault="00C02888" w:rsidP="00396E16">
      <w:pPr>
        <w:rPr>
          <w:rFonts w:cstheme="minorHAnsi"/>
          <w:sz w:val="24"/>
          <w:szCs w:val="24"/>
        </w:rPr>
      </w:pPr>
      <w:r w:rsidRPr="00AF4941">
        <w:rPr>
          <w:rFonts w:cstheme="minorHAnsi"/>
          <w:sz w:val="24"/>
          <w:szCs w:val="24"/>
        </w:rPr>
        <w:t xml:space="preserve">Taxation is a combination of personal and corporate tax issues.  Students should be comfortable with the technical rules underlying both personal and corporate issues, as well as </w:t>
      </w:r>
      <w:r w:rsidRPr="001D34C2">
        <w:rPr>
          <w:rFonts w:cstheme="minorHAnsi"/>
          <w:sz w:val="24"/>
          <w:szCs w:val="24"/>
        </w:rPr>
        <w:t>being able to handle some basic computations (i.e. computing taxable income etc.).</w:t>
      </w:r>
      <w:r w:rsidR="00892F7F" w:rsidRPr="001D34C2">
        <w:rPr>
          <w:rFonts w:cstheme="minorHAnsi"/>
          <w:sz w:val="24"/>
          <w:szCs w:val="24"/>
        </w:rPr>
        <w:t xml:space="preserve">  Students should refer to the CPA Competency Map Knowledge Supplement to determine which topics to</w:t>
      </w:r>
      <w:r w:rsidR="00892F7F" w:rsidRPr="00AF4941">
        <w:rPr>
          <w:rFonts w:cstheme="minorHAnsi"/>
          <w:sz w:val="24"/>
          <w:szCs w:val="24"/>
        </w:rPr>
        <w:t xml:space="preserve"> focus on for the CFE, keeping in mind that for the CFE unless students have chosen tax as their depth area, tax knowledge is only required at the Core level.</w:t>
      </w:r>
    </w:p>
    <w:bookmarkEnd w:id="9"/>
    <w:p w:rsidR="00C02888" w:rsidRPr="00AF4941" w:rsidRDefault="00C02888" w:rsidP="00C02888">
      <w:pPr>
        <w:ind w:left="426" w:hanging="426"/>
        <w:rPr>
          <w:rFonts w:cstheme="minorHAnsi"/>
          <w:b/>
          <w:bCs/>
          <w:color w:val="0070C0"/>
          <w:sz w:val="24"/>
          <w:szCs w:val="24"/>
          <w:u w:val="single"/>
        </w:rPr>
      </w:pPr>
      <w:r w:rsidRPr="00AF4941">
        <w:rPr>
          <w:rFonts w:cstheme="minorHAnsi"/>
          <w:b/>
          <w:bCs/>
          <w:color w:val="0070C0"/>
          <w:sz w:val="24"/>
          <w:szCs w:val="24"/>
          <w:u w:val="single"/>
        </w:rPr>
        <w:t xml:space="preserve">Other (Finance, </w:t>
      </w:r>
      <w:r w:rsidR="00E7682F" w:rsidRPr="00AF4941">
        <w:rPr>
          <w:rFonts w:cstheme="minorHAnsi"/>
          <w:b/>
          <w:bCs/>
          <w:color w:val="0070C0"/>
          <w:sz w:val="24"/>
          <w:szCs w:val="24"/>
          <w:u w:val="single"/>
        </w:rPr>
        <w:t>Performance Man</w:t>
      </w:r>
      <w:r w:rsidR="00102F41" w:rsidRPr="00AF4941">
        <w:rPr>
          <w:rFonts w:cstheme="minorHAnsi"/>
          <w:b/>
          <w:bCs/>
          <w:color w:val="0070C0"/>
          <w:sz w:val="24"/>
          <w:szCs w:val="24"/>
          <w:u w:val="single"/>
        </w:rPr>
        <w:t xml:space="preserve">agement, </w:t>
      </w:r>
      <w:r w:rsidR="00E7682F" w:rsidRPr="00AF4941">
        <w:rPr>
          <w:rFonts w:cstheme="minorHAnsi"/>
          <w:b/>
          <w:bCs/>
          <w:color w:val="0070C0"/>
          <w:sz w:val="24"/>
          <w:szCs w:val="24"/>
          <w:u w:val="single"/>
        </w:rPr>
        <w:t>(IT</w:t>
      </w:r>
      <w:r w:rsidR="00BD5A99">
        <w:rPr>
          <w:rFonts w:cstheme="minorHAnsi"/>
          <w:b/>
          <w:bCs/>
          <w:color w:val="0070C0"/>
          <w:sz w:val="24"/>
          <w:szCs w:val="24"/>
          <w:u w:val="single"/>
        </w:rPr>
        <w:t xml:space="preserve"> and Data Analytics</w:t>
      </w:r>
      <w:r w:rsidR="00E7682F" w:rsidRPr="00AF4941">
        <w:rPr>
          <w:rFonts w:cstheme="minorHAnsi"/>
          <w:b/>
          <w:bCs/>
          <w:color w:val="0070C0"/>
          <w:sz w:val="24"/>
          <w:szCs w:val="24"/>
          <w:u w:val="single"/>
        </w:rPr>
        <w:t>))</w:t>
      </w:r>
    </w:p>
    <w:p w:rsidR="00C02888" w:rsidRPr="00AF4941" w:rsidRDefault="00E7682F" w:rsidP="00396E16">
      <w:pPr>
        <w:rPr>
          <w:rFonts w:cstheme="minorHAnsi"/>
          <w:sz w:val="24"/>
          <w:szCs w:val="24"/>
        </w:rPr>
      </w:pPr>
      <w:r w:rsidRPr="00AF4941">
        <w:rPr>
          <w:rFonts w:cstheme="minorHAnsi"/>
          <w:sz w:val="24"/>
          <w:szCs w:val="24"/>
        </w:rPr>
        <w:t>It is expected that most of the other competencies will be picked up through case writing, though one may want to give some of these other topics some dedicated technical studying, depending on one’s strengths and weaknesses.  Therefore, some amount of time is built into the study plan for these other areas.</w:t>
      </w:r>
    </w:p>
    <w:sectPr w:rsidR="00C02888" w:rsidRPr="00AF4941">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41E1" w:rsidRDefault="002A41E1" w:rsidP="002A41E1">
      <w:pPr>
        <w:spacing w:after="0" w:line="240" w:lineRule="auto"/>
      </w:pPr>
      <w:r>
        <w:separator/>
      </w:r>
    </w:p>
  </w:endnote>
  <w:endnote w:type="continuationSeparator" w:id="0">
    <w:p w:rsidR="002A41E1" w:rsidRDefault="002A41E1" w:rsidP="002A41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Arial">
    <w:altName w:val="Times New Roman"/>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1E1" w:rsidRPr="002A41E1" w:rsidRDefault="002A41E1" w:rsidP="002A41E1">
    <w:pPr>
      <w:pStyle w:val="Footer"/>
      <w:pBdr>
        <w:top w:val="single" w:sz="4" w:space="1" w:color="auto"/>
      </w:pBdr>
      <w:rPr>
        <w:rFonts w:cstheme="minorHAnsi"/>
        <w:i/>
        <w:sz w:val="20"/>
        <w:szCs w:val="20"/>
      </w:rPr>
    </w:pPr>
    <w:r w:rsidRPr="002A41E1">
      <w:rPr>
        <w:rFonts w:cstheme="minorHAnsi"/>
        <w:i/>
        <w:sz w:val="20"/>
        <w:szCs w:val="20"/>
      </w:rPr>
      <w:t>Professional Accounting Supplementary School (PASS) Inc.</w:t>
    </w:r>
    <w:r w:rsidR="00E7682F">
      <w:rPr>
        <w:rFonts w:cstheme="minorHAnsi"/>
        <w:i/>
        <w:sz w:val="20"/>
        <w:szCs w:val="20"/>
      </w:rPr>
      <w:tab/>
      <w:t xml:space="preserve">Page </w:t>
    </w:r>
    <w:r w:rsidR="00E7682F" w:rsidRPr="00E7682F">
      <w:rPr>
        <w:rFonts w:cstheme="minorHAnsi"/>
        <w:i/>
        <w:sz w:val="20"/>
        <w:szCs w:val="20"/>
      </w:rPr>
      <w:fldChar w:fldCharType="begin"/>
    </w:r>
    <w:r w:rsidR="00E7682F" w:rsidRPr="00E7682F">
      <w:rPr>
        <w:rFonts w:cstheme="minorHAnsi"/>
        <w:i/>
        <w:sz w:val="20"/>
        <w:szCs w:val="20"/>
      </w:rPr>
      <w:instrText xml:space="preserve"> PAGE   \* MERGEFORMAT </w:instrText>
    </w:r>
    <w:r w:rsidR="00E7682F" w:rsidRPr="00E7682F">
      <w:rPr>
        <w:rFonts w:cstheme="minorHAnsi"/>
        <w:i/>
        <w:sz w:val="20"/>
        <w:szCs w:val="20"/>
      </w:rPr>
      <w:fldChar w:fldCharType="separate"/>
    </w:r>
    <w:r w:rsidR="001D34C2">
      <w:rPr>
        <w:rFonts w:cstheme="minorHAnsi"/>
        <w:i/>
        <w:noProof/>
        <w:sz w:val="20"/>
        <w:szCs w:val="20"/>
      </w:rPr>
      <w:t>1</w:t>
    </w:r>
    <w:r w:rsidR="00E7682F" w:rsidRPr="00E7682F">
      <w:rPr>
        <w:rFonts w:cstheme="minorHAnsi"/>
        <w:i/>
        <w:noProof/>
        <w:sz w:val="20"/>
        <w:szCs w:val="20"/>
      </w:rPr>
      <w:fldChar w:fldCharType="end"/>
    </w:r>
  </w:p>
  <w:p w:rsidR="002A41E1" w:rsidRDefault="002A41E1">
    <w:pPr>
      <w:pStyle w:val="Footer"/>
    </w:pPr>
  </w:p>
  <w:p w:rsidR="002A41E1" w:rsidRDefault="002A41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41E1" w:rsidRDefault="002A41E1" w:rsidP="002A41E1">
      <w:pPr>
        <w:spacing w:after="0" w:line="240" w:lineRule="auto"/>
      </w:pPr>
      <w:r>
        <w:separator/>
      </w:r>
    </w:p>
  </w:footnote>
  <w:footnote w:type="continuationSeparator" w:id="0">
    <w:p w:rsidR="002A41E1" w:rsidRDefault="002A41E1" w:rsidP="002A41E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703D15"/>
    <w:multiLevelType w:val="hybridMultilevel"/>
    <w:tmpl w:val="9BF8FBBC"/>
    <w:lvl w:ilvl="0" w:tplc="14763444">
      <w:start w:val="1"/>
      <w:numFmt w:val="upperRoman"/>
      <w:lvlText w:val="(%1)"/>
      <w:lvlJc w:val="left"/>
      <w:pPr>
        <w:ind w:left="1146" w:hanging="720"/>
      </w:pPr>
      <w:rPr>
        <w:rFonts w:hint="default"/>
      </w:rPr>
    </w:lvl>
    <w:lvl w:ilvl="1" w:tplc="10090019" w:tentative="1">
      <w:start w:val="1"/>
      <w:numFmt w:val="lowerLetter"/>
      <w:lvlText w:val="%2."/>
      <w:lvlJc w:val="left"/>
      <w:pPr>
        <w:ind w:left="1506" w:hanging="360"/>
      </w:pPr>
    </w:lvl>
    <w:lvl w:ilvl="2" w:tplc="1009001B" w:tentative="1">
      <w:start w:val="1"/>
      <w:numFmt w:val="lowerRoman"/>
      <w:lvlText w:val="%3."/>
      <w:lvlJc w:val="right"/>
      <w:pPr>
        <w:ind w:left="2226" w:hanging="180"/>
      </w:pPr>
    </w:lvl>
    <w:lvl w:ilvl="3" w:tplc="1009000F" w:tentative="1">
      <w:start w:val="1"/>
      <w:numFmt w:val="decimal"/>
      <w:lvlText w:val="%4."/>
      <w:lvlJc w:val="left"/>
      <w:pPr>
        <w:ind w:left="2946" w:hanging="360"/>
      </w:pPr>
    </w:lvl>
    <w:lvl w:ilvl="4" w:tplc="10090019" w:tentative="1">
      <w:start w:val="1"/>
      <w:numFmt w:val="lowerLetter"/>
      <w:lvlText w:val="%5."/>
      <w:lvlJc w:val="left"/>
      <w:pPr>
        <w:ind w:left="3666" w:hanging="360"/>
      </w:pPr>
    </w:lvl>
    <w:lvl w:ilvl="5" w:tplc="1009001B" w:tentative="1">
      <w:start w:val="1"/>
      <w:numFmt w:val="lowerRoman"/>
      <w:lvlText w:val="%6."/>
      <w:lvlJc w:val="right"/>
      <w:pPr>
        <w:ind w:left="4386" w:hanging="180"/>
      </w:pPr>
    </w:lvl>
    <w:lvl w:ilvl="6" w:tplc="1009000F" w:tentative="1">
      <w:start w:val="1"/>
      <w:numFmt w:val="decimal"/>
      <w:lvlText w:val="%7."/>
      <w:lvlJc w:val="left"/>
      <w:pPr>
        <w:ind w:left="5106" w:hanging="360"/>
      </w:pPr>
    </w:lvl>
    <w:lvl w:ilvl="7" w:tplc="10090019" w:tentative="1">
      <w:start w:val="1"/>
      <w:numFmt w:val="lowerLetter"/>
      <w:lvlText w:val="%8."/>
      <w:lvlJc w:val="left"/>
      <w:pPr>
        <w:ind w:left="5826" w:hanging="360"/>
      </w:pPr>
    </w:lvl>
    <w:lvl w:ilvl="8" w:tplc="1009001B" w:tentative="1">
      <w:start w:val="1"/>
      <w:numFmt w:val="lowerRoman"/>
      <w:lvlText w:val="%9."/>
      <w:lvlJc w:val="right"/>
      <w:pPr>
        <w:ind w:left="654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B4B"/>
    <w:rsid w:val="0002037D"/>
    <w:rsid w:val="00046F02"/>
    <w:rsid w:val="000E492D"/>
    <w:rsid w:val="00102F41"/>
    <w:rsid w:val="00131670"/>
    <w:rsid w:val="00147D41"/>
    <w:rsid w:val="001658A2"/>
    <w:rsid w:val="001B08E7"/>
    <w:rsid w:val="001B55B3"/>
    <w:rsid w:val="001C0428"/>
    <w:rsid w:val="001D34C2"/>
    <w:rsid w:val="00242AF3"/>
    <w:rsid w:val="002432BA"/>
    <w:rsid w:val="00272127"/>
    <w:rsid w:val="002A41E1"/>
    <w:rsid w:val="00300437"/>
    <w:rsid w:val="00334689"/>
    <w:rsid w:val="003523C1"/>
    <w:rsid w:val="0037333C"/>
    <w:rsid w:val="0037470A"/>
    <w:rsid w:val="00396E16"/>
    <w:rsid w:val="003C2EA9"/>
    <w:rsid w:val="003E33ED"/>
    <w:rsid w:val="00416429"/>
    <w:rsid w:val="00443DBF"/>
    <w:rsid w:val="0047574F"/>
    <w:rsid w:val="004A093E"/>
    <w:rsid w:val="004C1A09"/>
    <w:rsid w:val="00547B43"/>
    <w:rsid w:val="005B1C7B"/>
    <w:rsid w:val="0068531B"/>
    <w:rsid w:val="006C11E6"/>
    <w:rsid w:val="0070752F"/>
    <w:rsid w:val="007A18AF"/>
    <w:rsid w:val="007E6D55"/>
    <w:rsid w:val="0080047A"/>
    <w:rsid w:val="00803985"/>
    <w:rsid w:val="00832825"/>
    <w:rsid w:val="00840372"/>
    <w:rsid w:val="00860349"/>
    <w:rsid w:val="00863BED"/>
    <w:rsid w:val="00892F7F"/>
    <w:rsid w:val="008A2657"/>
    <w:rsid w:val="008D5D7B"/>
    <w:rsid w:val="008F09BF"/>
    <w:rsid w:val="009226EB"/>
    <w:rsid w:val="00972DB4"/>
    <w:rsid w:val="0098657C"/>
    <w:rsid w:val="009C307F"/>
    <w:rsid w:val="009C742C"/>
    <w:rsid w:val="009D0183"/>
    <w:rsid w:val="009D67F4"/>
    <w:rsid w:val="009E2FB9"/>
    <w:rsid w:val="00A106EC"/>
    <w:rsid w:val="00A14573"/>
    <w:rsid w:val="00A33B4B"/>
    <w:rsid w:val="00A90B40"/>
    <w:rsid w:val="00AA469F"/>
    <w:rsid w:val="00AC0C35"/>
    <w:rsid w:val="00AE5C17"/>
    <w:rsid w:val="00AF4941"/>
    <w:rsid w:val="00B028CA"/>
    <w:rsid w:val="00B30943"/>
    <w:rsid w:val="00B34035"/>
    <w:rsid w:val="00B40199"/>
    <w:rsid w:val="00B40E8C"/>
    <w:rsid w:val="00B717A4"/>
    <w:rsid w:val="00B82814"/>
    <w:rsid w:val="00B921EF"/>
    <w:rsid w:val="00BB10BB"/>
    <w:rsid w:val="00BD5A99"/>
    <w:rsid w:val="00BF1367"/>
    <w:rsid w:val="00BF4DD7"/>
    <w:rsid w:val="00BF6C79"/>
    <w:rsid w:val="00C02888"/>
    <w:rsid w:val="00C060B3"/>
    <w:rsid w:val="00C118FE"/>
    <w:rsid w:val="00C23BDD"/>
    <w:rsid w:val="00C33A7A"/>
    <w:rsid w:val="00C42C02"/>
    <w:rsid w:val="00CA01BE"/>
    <w:rsid w:val="00CF53DB"/>
    <w:rsid w:val="00D20C3F"/>
    <w:rsid w:val="00D44329"/>
    <w:rsid w:val="00D6146D"/>
    <w:rsid w:val="00D8285E"/>
    <w:rsid w:val="00D97765"/>
    <w:rsid w:val="00DE007D"/>
    <w:rsid w:val="00DE5979"/>
    <w:rsid w:val="00DF5ECE"/>
    <w:rsid w:val="00E028B0"/>
    <w:rsid w:val="00E03FFF"/>
    <w:rsid w:val="00E04A4F"/>
    <w:rsid w:val="00E11F81"/>
    <w:rsid w:val="00E331E4"/>
    <w:rsid w:val="00E73370"/>
    <w:rsid w:val="00E7682F"/>
    <w:rsid w:val="00F00A23"/>
    <w:rsid w:val="00F0573A"/>
    <w:rsid w:val="00F12497"/>
    <w:rsid w:val="00F41552"/>
    <w:rsid w:val="00F80F51"/>
  </w:rsids>
  <m:mathPr>
    <m:mathFont m:val="Cambria Math"/>
    <m:brkBin m:val="before"/>
    <m:brkBinSub m:val="--"/>
    <m:smallFrac m:val="0"/>
    <m:dispDef/>
    <m:lMargin m:val="0"/>
    <m:rMargin m:val="0"/>
    <m:defJc m:val="centerGroup"/>
    <m:wrapIndent m:val="1440"/>
    <m:intLim m:val="subSup"/>
    <m:naryLim m:val="undOvr"/>
  </m:mathPr>
  <w:themeFontLang w:val="en-CA" w:bidi="he-IL"/>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8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3B4B"/>
    <w:pPr>
      <w:ind w:left="720"/>
      <w:contextualSpacing/>
    </w:pPr>
  </w:style>
  <w:style w:type="paragraph" w:styleId="Header">
    <w:name w:val="header"/>
    <w:basedOn w:val="Normal"/>
    <w:link w:val="HeaderChar"/>
    <w:uiPriority w:val="99"/>
    <w:unhideWhenUsed/>
    <w:rsid w:val="002A41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41E1"/>
  </w:style>
  <w:style w:type="paragraph" w:styleId="Footer">
    <w:name w:val="footer"/>
    <w:basedOn w:val="Normal"/>
    <w:link w:val="FooterChar"/>
    <w:uiPriority w:val="99"/>
    <w:unhideWhenUsed/>
    <w:rsid w:val="002A41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41E1"/>
  </w:style>
  <w:style w:type="paragraph" w:styleId="BalloonText">
    <w:name w:val="Balloon Text"/>
    <w:basedOn w:val="Normal"/>
    <w:link w:val="BalloonTextChar"/>
    <w:uiPriority w:val="99"/>
    <w:semiHidden/>
    <w:unhideWhenUsed/>
    <w:rsid w:val="002A41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41E1"/>
    <w:rPr>
      <w:rFonts w:ascii="Tahoma" w:hAnsi="Tahoma" w:cs="Tahoma"/>
      <w:sz w:val="16"/>
      <w:szCs w:val="16"/>
    </w:rPr>
  </w:style>
  <w:style w:type="character" w:styleId="Hyperlink">
    <w:name w:val="Hyperlink"/>
    <w:basedOn w:val="DefaultParagraphFont"/>
    <w:uiPriority w:val="99"/>
    <w:unhideWhenUsed/>
    <w:rsid w:val="00547B4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8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3B4B"/>
    <w:pPr>
      <w:ind w:left="720"/>
      <w:contextualSpacing/>
    </w:pPr>
  </w:style>
  <w:style w:type="paragraph" w:styleId="Header">
    <w:name w:val="header"/>
    <w:basedOn w:val="Normal"/>
    <w:link w:val="HeaderChar"/>
    <w:uiPriority w:val="99"/>
    <w:unhideWhenUsed/>
    <w:rsid w:val="002A41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41E1"/>
  </w:style>
  <w:style w:type="paragraph" w:styleId="Footer">
    <w:name w:val="footer"/>
    <w:basedOn w:val="Normal"/>
    <w:link w:val="FooterChar"/>
    <w:uiPriority w:val="99"/>
    <w:unhideWhenUsed/>
    <w:rsid w:val="002A41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41E1"/>
  </w:style>
  <w:style w:type="paragraph" w:styleId="BalloonText">
    <w:name w:val="Balloon Text"/>
    <w:basedOn w:val="Normal"/>
    <w:link w:val="BalloonTextChar"/>
    <w:uiPriority w:val="99"/>
    <w:semiHidden/>
    <w:unhideWhenUsed/>
    <w:rsid w:val="002A41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41E1"/>
    <w:rPr>
      <w:rFonts w:ascii="Tahoma" w:hAnsi="Tahoma" w:cs="Tahoma"/>
      <w:sz w:val="16"/>
      <w:szCs w:val="16"/>
    </w:rPr>
  </w:style>
  <w:style w:type="character" w:styleId="Hyperlink">
    <w:name w:val="Hyperlink"/>
    <w:basedOn w:val="DefaultParagraphFont"/>
    <w:uiPriority w:val="99"/>
    <w:unhideWhenUsed/>
    <w:rsid w:val="00547B4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ssyourcpa.ca"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731</Words>
  <Characters>4167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Levi</dc:creator>
  <cp:lastModifiedBy>Ira</cp:lastModifiedBy>
  <cp:revision>4</cp:revision>
  <cp:lastPrinted>2016-11-08T19:39:00Z</cp:lastPrinted>
  <dcterms:created xsi:type="dcterms:W3CDTF">2022-12-06T17:37:00Z</dcterms:created>
  <dcterms:modified xsi:type="dcterms:W3CDTF">2024-09-16T19:49:00Z</dcterms:modified>
</cp:coreProperties>
</file>